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甘肃省大学生就业创业能力提升工程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项目申报指南</w:t>
      </w: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为进一步提升我省大学生就业创业能力，教育厅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组织开展甘肃省高校大学生就业创业能力提升工程项目申报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。为规范项目申报，特制定申报指南。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一、项目申报主要选题范围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理论研究部分---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（一）高校学生就业创业工作理论研究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1.习近平新时代中国特色社会主义思想、党的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二十大</w:t>
      </w:r>
      <w:r>
        <w:rPr>
          <w:rFonts w:hint="eastAsia" w:ascii="仿宋" w:hAnsi="仿宋" w:eastAsia="仿宋" w:cs="仿宋"/>
          <w:sz w:val="32"/>
          <w:szCs w:val="32"/>
        </w:rPr>
        <w:t>精神指导就业创业工作研究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2.互联网时代大学生就业创业工作研究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突发事件</w:t>
      </w:r>
      <w:r>
        <w:rPr>
          <w:rFonts w:hint="eastAsia" w:ascii="仿宋" w:hAnsi="仿宋" w:eastAsia="仿宋" w:cs="仿宋"/>
          <w:sz w:val="32"/>
          <w:szCs w:val="32"/>
        </w:rPr>
        <w:t>对大学生就业创业工作影响及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应对研究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4.人工智能背景下大学生就业创业工作研究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5.大学生就业创业能力及素质研究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6.大学生职业生涯规划与职业发展研究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7.大学生就业创业工作实际的理论凝练与提升研究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8.国内外大学生就业创业工作比较研究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9.促进产教融合、校企合作的模式及对策研究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10.就业质量调研反馈研究与应用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11.就业育人成效研究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12.高校毕业生“慢就业”“缓就业”现象应对策略研究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实践实务部分---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（二）高校学生就业创业工作制度建设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.高校大学生就业创业工作体制机制建设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.大学生就业创业工作范式构建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.大学生就业创业工作应变能力与应变机制建设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.大</w:t>
      </w:r>
      <w:r>
        <w:rPr>
          <w:rFonts w:hint="eastAsia" w:ascii="仿宋" w:hAnsi="仿宋" w:eastAsia="仿宋" w:cs="仿宋"/>
          <w:sz w:val="32"/>
          <w:szCs w:val="32"/>
        </w:rPr>
        <w:t>学生就业创业服务工作体系建设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（三）大学生就业创业能力提升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.大学生求职能力训练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.大学生就业创业综合技能提升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.大学生职业生涯规划培训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.大学生就业创业活动及实践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（四）大学生就业创业课程建设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.高校就业创业课程内容建设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.高校生涯教育模式完善与变革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.就业课程教学改革与质量提升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.国外就业指导与生涯教育经验借鉴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（五）校园招聘及就业市场建设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.校园招聘模式创新与推广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.就业市场开拓与维护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.校地、校企人才工作站建设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.国际组织与海外就业渠道拓展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（六）就业创业师资队伍建设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.就业创业师资队伍专业化水平提升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.就业创业师资库建设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.就业创业团队建设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.就业创业类名师工作室建设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（七）就业创业工作信息化建设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（八）其它与大学生就业创业工作相关内容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二、项目评审评分标准</w:t>
      </w:r>
    </w:p>
    <w:tbl>
      <w:tblPr>
        <w:tblStyle w:val="8"/>
        <w:tblW w:w="9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50"/>
        <w:gridCol w:w="4518"/>
        <w:gridCol w:w="1361"/>
        <w:gridCol w:w="16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标准分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项目价值</w:t>
            </w:r>
          </w:p>
        </w:tc>
        <w:tc>
          <w:tcPr>
            <w:tcW w:w="4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围绕促进毕业生充分就业，助力大学生就业创业能力提升及毕业生就业率、就业质量提高。符合就业创业工作实际，解决就业创业工作面临或迫切需要解决的难点和痛点问题，具有针对性、可行性及推广应用价值。符合项目申报规则。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很好16-20分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较好11-15分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一般6-10分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实施保障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负责人和主要成员具备项目实施能力，资料与硬件设施等基础保障齐全，经费预算合理（涉及配套经费的项目应明确配套经费出处，保障到位）。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很好16-20分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较好11-15分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一般6-10分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思路清晰，论证充分，内涵丰富，举措得当。能够结合工作实际，对实施内容、方法、项目实施周期有符合逻辑的周密计划，结构完整。项目建设围绕目标，突出重点，举措落地，有可行性，对推动就业创业工作发挥普遍性、代表性、前瞻性作用。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很好26-30分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较好21-25分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一般10-15分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项目成果</w:t>
            </w:r>
          </w:p>
        </w:tc>
        <w:tc>
          <w:tcPr>
            <w:tcW w:w="4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项目预期目标明确、量化指标清晰、预期效益显著，按期完成。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很好26-30分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较好21-25分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一般10-15分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三、项目验收标准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（一）成果形式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</w:rPr>
        <w:t>高校就业创业理论研究型项目成果形式为结题报告及论文。成果正文字数要求1万字以上，公开发表论文1篇。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</w:rPr>
        <w:t>就业创业实践实务型项目成果形式为阶段性指标与量化验收指标。指标设定要符合我省就业创业工作实际，注重实施效果，内容可量化。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（二）结项要求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</w:rPr>
        <w:t>就业创业理论研究项目</w:t>
      </w:r>
      <w:r>
        <w:rPr>
          <w:rFonts w:hint="eastAsia" w:ascii="仿宋_GB2312" w:eastAsia="华文仿宋"/>
          <w:sz w:val="32"/>
          <w:szCs w:val="32"/>
          <w:lang w:eastAsia="zh-CN"/>
        </w:rPr>
        <w:t>要</w:t>
      </w:r>
      <w:r>
        <w:rPr>
          <w:rFonts w:hint="eastAsia" w:ascii="仿宋_GB2312" w:eastAsia="华文仿宋"/>
          <w:sz w:val="32"/>
          <w:szCs w:val="32"/>
        </w:rPr>
        <w:t>符合学术规范，学风严谨朴实，具有针对性、实效性及较高的学术价值、实际应用价值和理论指导意义。提交结项申请前，项目负责人须在省级期刊</w:t>
      </w:r>
      <w:r>
        <w:rPr>
          <w:rFonts w:hint="eastAsia" w:ascii="仿宋_GB2312" w:eastAsia="华文仿宋"/>
          <w:sz w:val="32"/>
          <w:szCs w:val="32"/>
          <w:lang w:eastAsia="zh-CN"/>
        </w:rPr>
        <w:t>及以上</w:t>
      </w:r>
      <w:r>
        <w:rPr>
          <w:rFonts w:hint="eastAsia" w:ascii="仿宋_GB2312" w:eastAsia="华文仿宋"/>
          <w:sz w:val="32"/>
          <w:szCs w:val="32"/>
        </w:rPr>
        <w:t>发表相关论文1篇（以第一作者名义），须标注“甘肃省就业创业研究课题阶段性研究成果”字样及立项编号。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</w:rPr>
        <w:t>就业创业实践实务型项目目标明确、量化指标科学</w:t>
      </w:r>
      <w:r>
        <w:rPr>
          <w:rFonts w:hint="eastAsia" w:ascii="仿宋_GB2312" w:eastAsia="华文仿宋"/>
          <w:sz w:val="32"/>
          <w:szCs w:val="32"/>
          <w:lang w:eastAsia="zh-CN"/>
        </w:rPr>
        <w:t>合理</w:t>
      </w:r>
      <w:r>
        <w:rPr>
          <w:rFonts w:hint="eastAsia" w:ascii="仿宋_GB2312" w:eastAsia="华文仿宋"/>
          <w:sz w:val="32"/>
          <w:szCs w:val="32"/>
        </w:rPr>
        <w:t>，组织实施落地</w:t>
      </w:r>
      <w:r>
        <w:rPr>
          <w:rFonts w:hint="eastAsia" w:ascii="仿宋_GB2312" w:eastAsia="华文仿宋"/>
          <w:sz w:val="32"/>
          <w:szCs w:val="32"/>
          <w:lang w:eastAsia="zh-CN"/>
        </w:rPr>
        <w:t>见效</w:t>
      </w:r>
      <w:r>
        <w:rPr>
          <w:rFonts w:hint="eastAsia" w:ascii="仿宋_GB2312" w:eastAsia="华文仿宋"/>
          <w:sz w:val="32"/>
          <w:szCs w:val="32"/>
        </w:rPr>
        <w:t>，实践效果明显。阶段性指标和</w:t>
      </w:r>
      <w:r>
        <w:rPr>
          <w:rFonts w:hint="eastAsia" w:ascii="仿宋_GB2312" w:eastAsia="华文仿宋"/>
          <w:sz w:val="32"/>
          <w:szCs w:val="32"/>
          <w:lang w:eastAsia="zh-CN"/>
        </w:rPr>
        <w:t>审核</w:t>
      </w:r>
      <w:r>
        <w:rPr>
          <w:rFonts w:hint="eastAsia" w:ascii="仿宋_GB2312" w:eastAsia="华文仿宋"/>
          <w:sz w:val="32"/>
          <w:szCs w:val="32"/>
        </w:rPr>
        <w:t>验收指标都要符合验收标准。</w:t>
      </w:r>
    </w:p>
    <w:p>
      <w:pPr>
        <w:spacing w:line="560" w:lineRule="exact"/>
        <w:ind w:firstLine="640" w:firstLineChars="200"/>
        <w:rPr>
          <w:rFonts w:ascii="仿宋_GB2312" w:eastAsia="华文仿宋"/>
          <w:sz w:val="32"/>
          <w:szCs w:val="32"/>
        </w:rPr>
      </w:pPr>
      <w:r>
        <w:rPr>
          <w:rFonts w:hint="eastAsia" w:ascii="仿宋_GB2312" w:eastAsia="华文仿宋"/>
          <w:sz w:val="32"/>
          <w:szCs w:val="32"/>
          <w:lang w:eastAsia="zh-CN"/>
        </w:rPr>
        <w:t>省教育厅将选择实施效果好的项目</w:t>
      </w:r>
      <w:r>
        <w:rPr>
          <w:rFonts w:hint="eastAsia" w:ascii="仿宋_GB2312" w:eastAsia="华文仿宋"/>
          <w:sz w:val="32"/>
          <w:szCs w:val="32"/>
        </w:rPr>
        <w:t>在全省高校范围内展示。不合格项目，给予终止项目和公开通报处理，追回经费，</w:t>
      </w:r>
      <w:r>
        <w:rPr>
          <w:rFonts w:hint="eastAsia" w:ascii="仿宋_GB2312" w:eastAsia="华文仿宋"/>
          <w:sz w:val="32"/>
          <w:szCs w:val="32"/>
          <w:lang w:eastAsia="zh-CN"/>
        </w:rPr>
        <w:t>所在高校</w:t>
      </w:r>
      <w:r>
        <w:rPr>
          <w:rFonts w:hint="eastAsia" w:ascii="仿宋_GB2312" w:eastAsia="华文仿宋"/>
          <w:sz w:val="32"/>
          <w:szCs w:val="32"/>
        </w:rPr>
        <w:t>三年内不得申报和参与甘肃省就业创业相关项目。</w:t>
      </w:r>
    </w:p>
    <w:p>
      <w:pPr>
        <w:spacing w:line="560" w:lineRule="exact"/>
        <w:ind w:firstLine="420" w:firstLineChars="200"/>
        <w:rPr>
          <w:rFonts w:eastAsia="华文仿宋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644" w:left="1644" w:header="1021" w:footer="1021" w:gutter="0"/>
      <w:pgNumType w:fmt="numberInDash"/>
      <w:cols w:space="720" w:num="1"/>
      <w:docGrid w:type="lines" w:linePitch="610" w:charSpace="-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/>
        <w:szCs w:val="28"/>
      </w:rPr>
    </w:pPr>
    <w:r>
      <w:rPr>
        <w:rStyle w:val="7"/>
        <w:rFonts w:hint="eastAsia" w:ascii="宋体"/>
        <w:szCs w:val="28"/>
      </w:rPr>
      <w:fldChar w:fldCharType="begin"/>
    </w:r>
    <w:r>
      <w:rPr>
        <w:rStyle w:val="7"/>
        <w:rFonts w:hint="eastAsia" w:ascii="宋体"/>
        <w:szCs w:val="28"/>
      </w:rPr>
      <w:instrText xml:space="preserve">PAGE  </w:instrText>
    </w:r>
    <w:r>
      <w:rPr>
        <w:rStyle w:val="7"/>
        <w:rFonts w:hint="eastAsia" w:ascii="宋体"/>
        <w:szCs w:val="28"/>
      </w:rPr>
      <w:fldChar w:fldCharType="separate"/>
    </w:r>
    <w:r>
      <w:rPr>
        <w:rStyle w:val="7"/>
        <w:rFonts w:ascii="宋体"/>
        <w:szCs w:val="28"/>
      </w:rPr>
      <w:t>- 6 -</w:t>
    </w:r>
    <w:r>
      <w:rPr>
        <w:rStyle w:val="7"/>
        <w:rFonts w:hint="eastAsia" w:ascii="宋体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 xml:space="preserve"> 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97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F2"/>
    <w:rsid w:val="00055FD2"/>
    <w:rsid w:val="00083BB1"/>
    <w:rsid w:val="001B789D"/>
    <w:rsid w:val="001C56DC"/>
    <w:rsid w:val="00272FC3"/>
    <w:rsid w:val="003C639B"/>
    <w:rsid w:val="003F623F"/>
    <w:rsid w:val="00425972"/>
    <w:rsid w:val="004F602C"/>
    <w:rsid w:val="00521AA7"/>
    <w:rsid w:val="005E0246"/>
    <w:rsid w:val="00677C91"/>
    <w:rsid w:val="007C798F"/>
    <w:rsid w:val="008A3442"/>
    <w:rsid w:val="008A7546"/>
    <w:rsid w:val="009B6411"/>
    <w:rsid w:val="009E58C8"/>
    <w:rsid w:val="00A219ED"/>
    <w:rsid w:val="00AC014D"/>
    <w:rsid w:val="00B922F5"/>
    <w:rsid w:val="00C578F2"/>
    <w:rsid w:val="00C85FF6"/>
    <w:rsid w:val="00C87523"/>
    <w:rsid w:val="00CD5943"/>
    <w:rsid w:val="00D10649"/>
    <w:rsid w:val="00DE1469"/>
    <w:rsid w:val="00DE1857"/>
    <w:rsid w:val="00DF2E22"/>
    <w:rsid w:val="00E87A35"/>
    <w:rsid w:val="00F02CAF"/>
    <w:rsid w:val="00F11ACC"/>
    <w:rsid w:val="00FA33DF"/>
    <w:rsid w:val="00FF2C11"/>
    <w:rsid w:val="052D4781"/>
    <w:rsid w:val="053921E6"/>
    <w:rsid w:val="070A2582"/>
    <w:rsid w:val="08B82188"/>
    <w:rsid w:val="0CB34039"/>
    <w:rsid w:val="0CE5793E"/>
    <w:rsid w:val="0E4A1592"/>
    <w:rsid w:val="10615B05"/>
    <w:rsid w:val="15A142C6"/>
    <w:rsid w:val="17227DAD"/>
    <w:rsid w:val="19395201"/>
    <w:rsid w:val="1DBA78E4"/>
    <w:rsid w:val="1F35053C"/>
    <w:rsid w:val="20B80005"/>
    <w:rsid w:val="23D45657"/>
    <w:rsid w:val="25A76C1E"/>
    <w:rsid w:val="265E1BDE"/>
    <w:rsid w:val="2AC72FEF"/>
    <w:rsid w:val="30775142"/>
    <w:rsid w:val="307C6D9A"/>
    <w:rsid w:val="30F3719F"/>
    <w:rsid w:val="31A65180"/>
    <w:rsid w:val="344462E8"/>
    <w:rsid w:val="35EA2BDC"/>
    <w:rsid w:val="365B63E5"/>
    <w:rsid w:val="383C6800"/>
    <w:rsid w:val="3CE465D9"/>
    <w:rsid w:val="3EA651F4"/>
    <w:rsid w:val="41286DC3"/>
    <w:rsid w:val="45A725E0"/>
    <w:rsid w:val="4D6D1F80"/>
    <w:rsid w:val="4E3E15AC"/>
    <w:rsid w:val="5349681A"/>
    <w:rsid w:val="57095CC8"/>
    <w:rsid w:val="59721F0D"/>
    <w:rsid w:val="5F077C74"/>
    <w:rsid w:val="63A30111"/>
    <w:rsid w:val="65E7207B"/>
    <w:rsid w:val="672D7179"/>
    <w:rsid w:val="68FA4B0A"/>
    <w:rsid w:val="69083E33"/>
    <w:rsid w:val="6C586FD5"/>
    <w:rsid w:val="704164F4"/>
    <w:rsid w:val="7D23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link w:val="11"/>
    <w:qFormat/>
    <w:uiPriority w:val="0"/>
    <w:pPr>
      <w:widowControl w:val="0"/>
      <w:ind w:firstLine="555"/>
      <w:jc w:val="both"/>
    </w:pPr>
    <w:rPr>
      <w:rFonts w:ascii="楷体_GB2312" w:hAnsi="Times New Roman" w:eastAsia="楷体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7">
    <w:name w:val="page number"/>
    <w:qFormat/>
    <w:uiPriority w:val="0"/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6"/>
    <w:link w:val="2"/>
    <w:qFormat/>
    <w:uiPriority w:val="0"/>
    <w:rPr>
      <w:rFonts w:ascii="楷体_GB2312" w:hAnsi="Times New Roman" w:eastAsia="楷体_GB2312" w:cs="Times New Roman"/>
      <w:sz w:val="28"/>
      <w:szCs w:val="24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372</Words>
  <Characters>2121</Characters>
  <Lines>17</Lines>
  <Paragraphs>4</Paragraphs>
  <TotalTime>15</TotalTime>
  <ScaleCrop>false</ScaleCrop>
  <LinksUpToDate>false</LinksUpToDate>
  <CharactersWithSpaces>2489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2020-12-14T08:51:00Z</dcterms:created>
  <dc:creator>秦正国</dc:creator>
  <cp:lastModifiedBy>null</cp:lastModifiedBy>
  <dcterms:modified xsi:type="dcterms:W3CDTF">2023-01-29T11:17:32Z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