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9F" w:rsidRDefault="0016549F" w:rsidP="0016549F">
      <w:pPr>
        <w:snapToGrid w:val="0"/>
        <w:ind w:firstLineChars="0" w:firstLine="0"/>
        <w:jc w:val="center"/>
        <w:rPr>
          <w:rStyle w:val="1Char"/>
          <w:rFonts w:ascii="仿宋_GB2312" w:eastAsia="仿宋_GB2312" w:hAnsi="仿宋_GB2312" w:cs="仿宋_GB2312"/>
          <w:color w:val="000000"/>
          <w:sz w:val="32"/>
          <w:szCs w:val="32"/>
        </w:rPr>
      </w:pPr>
      <w:bookmarkStart w:id="0" w:name="_GoBack"/>
      <w:r>
        <w:rPr>
          <w:rStyle w:val="1Char"/>
          <w:rFonts w:ascii="仿宋_GB2312" w:eastAsia="仿宋_GB2312" w:hAnsi="仿宋_GB2312" w:cs="仿宋_GB2312" w:hint="eastAsia"/>
          <w:color w:val="000000"/>
          <w:sz w:val="32"/>
          <w:szCs w:val="32"/>
        </w:rPr>
        <w:t>附件一：2018年甘肃省职业院校技能大赛</w:t>
      </w:r>
    </w:p>
    <w:p w:rsidR="0016549F" w:rsidRDefault="0016549F" w:rsidP="0016549F">
      <w:pPr>
        <w:snapToGrid w:val="0"/>
        <w:ind w:firstLineChars="0" w:firstLine="0"/>
        <w:jc w:val="center"/>
        <w:rPr>
          <w:rFonts w:ascii="仿宋_GB2312" w:eastAsia="仿宋_GB2312" w:hAnsi="仿宋_GB2312" w:cs="仿宋_GB2312"/>
          <w:b/>
          <w:color w:val="000000"/>
          <w:sz w:val="32"/>
          <w:szCs w:val="32"/>
        </w:rPr>
      </w:pPr>
      <w:r>
        <w:rPr>
          <w:rStyle w:val="1Char"/>
          <w:rFonts w:ascii="仿宋_GB2312" w:eastAsia="仿宋_GB2312" w:hAnsi="仿宋_GB2312" w:cs="仿宋_GB2312" w:hint="eastAsia"/>
          <w:color w:val="000000"/>
          <w:sz w:val="32"/>
          <w:szCs w:val="32"/>
        </w:rPr>
        <w:t xml:space="preserve">        汽车发动机系统检修竞赛方案</w:t>
      </w:r>
    </w:p>
    <w:p w:rsidR="0016549F" w:rsidRDefault="0016549F" w:rsidP="0016549F">
      <w:pPr>
        <w:pStyle w:val="2"/>
        <w:spacing w:before="0" w:after="0" w:line="560" w:lineRule="exact"/>
        <w:ind w:firstLineChars="0" w:firstLine="0"/>
        <w:rPr>
          <w:rFonts w:ascii="仿宋_GB2312" w:eastAsia="仿宋_GB2312" w:hAnsi="仿宋_GB2312" w:cs="仿宋_GB2312"/>
          <w:color w:val="000000"/>
          <w:sz w:val="28"/>
          <w:szCs w:val="28"/>
        </w:rPr>
      </w:pPr>
      <w:bookmarkStart w:id="1" w:name="_Toc20573"/>
      <w:bookmarkEnd w:id="0"/>
      <w:r>
        <w:rPr>
          <w:rFonts w:ascii="仿宋_GB2312" w:eastAsia="仿宋_GB2312" w:hAnsi="仿宋_GB2312" w:cs="仿宋_GB2312" w:hint="eastAsia"/>
          <w:color w:val="000000"/>
          <w:sz w:val="28"/>
          <w:szCs w:val="28"/>
        </w:rPr>
        <w:t>一、竞赛内容、分值分配及设计用时</w:t>
      </w:r>
      <w:bookmarkEnd w:id="1"/>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本次大赛要求选手在规定的时间内，利用帕萨特整车完成以下两种类型的竞赛内容：</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1.发动机及相关系统常见故障的诊断和排除工作。</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2.故障涉及关键知识的考核。</w:t>
      </w:r>
    </w:p>
    <w:p w:rsidR="0016549F" w:rsidRDefault="0016549F" w:rsidP="0016549F">
      <w:pPr>
        <w:snapToGrid w:val="0"/>
        <w:ind w:leftChars="8" w:left="22" w:firstLineChars="191" w:firstLine="535"/>
        <w:rPr>
          <w:rFonts w:ascii="仿宋_GB2312" w:eastAsia="仿宋_GB2312" w:hAnsi="仿宋_GB2312" w:cs="仿宋_GB2312"/>
          <w:color w:val="000000"/>
          <w:sz w:val="30"/>
          <w:szCs w:val="30"/>
        </w:rPr>
      </w:pPr>
      <w:r>
        <w:rPr>
          <w:rFonts w:ascii="仿宋_GB2312" w:eastAsia="仿宋_GB2312" w:cs="仿宋" w:hint="eastAsia"/>
          <w:szCs w:val="28"/>
        </w:rPr>
        <w:t>各竞赛内容、分值分配见表八。</w:t>
      </w:r>
    </w:p>
    <w:p w:rsidR="0016549F" w:rsidRDefault="0016549F" w:rsidP="0016549F">
      <w:pPr>
        <w:ind w:firstLine="482"/>
        <w:contextualSpacing/>
        <w:jc w:val="center"/>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24"/>
          <w:szCs w:val="24"/>
        </w:rPr>
        <w:t>表八  汽车发动机系统检修竞赛内容、分值分配</w:t>
      </w:r>
    </w:p>
    <w:tbl>
      <w:tblPr>
        <w:tblW w:w="6946" w:type="dxa"/>
        <w:jc w:val="center"/>
        <w:tblLayout w:type="fixed"/>
        <w:tblLook w:val="04A0" w:firstRow="1" w:lastRow="0" w:firstColumn="1" w:lastColumn="0" w:noHBand="0" w:noVBand="1"/>
      </w:tblPr>
      <w:tblGrid>
        <w:gridCol w:w="923"/>
        <w:gridCol w:w="5172"/>
        <w:gridCol w:w="851"/>
      </w:tblGrid>
      <w:tr w:rsidR="0016549F" w:rsidTr="00125AE0">
        <w:trPr>
          <w:trHeight w:val="448"/>
          <w:jc w:val="center"/>
        </w:trPr>
        <w:tc>
          <w:tcPr>
            <w:tcW w:w="923" w:type="dxa"/>
            <w:tcBorders>
              <w:top w:val="single" w:sz="4" w:space="0" w:color="auto"/>
              <w:left w:val="single" w:sz="4" w:space="0" w:color="auto"/>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bookmarkStart w:id="2" w:name="OLE_LINK16"/>
            <w:bookmarkStart w:id="3" w:name="OLE_LINK17"/>
            <w:bookmarkStart w:id="4" w:name="_Toc16938"/>
            <w:r>
              <w:rPr>
                <w:rFonts w:ascii="仿宋_GB2312" w:eastAsia="仿宋_GB2312" w:hAnsi="仿宋_GB2312" w:cs="仿宋_GB2312" w:hint="eastAsia"/>
                <w:color w:val="000000"/>
                <w:sz w:val="24"/>
                <w:szCs w:val="24"/>
              </w:rPr>
              <w:t>平台</w:t>
            </w:r>
          </w:p>
        </w:tc>
        <w:tc>
          <w:tcPr>
            <w:tcW w:w="5172" w:type="dxa"/>
            <w:tcBorders>
              <w:top w:val="single" w:sz="4" w:space="0" w:color="auto"/>
              <w:left w:val="nil"/>
              <w:bottom w:val="single" w:sz="4" w:space="0" w:color="auto"/>
              <w:right w:val="single" w:sz="4" w:space="0" w:color="auto"/>
            </w:tcBorders>
            <w:vAlign w:val="center"/>
          </w:tcPr>
          <w:p w:rsidR="0016549F" w:rsidRDefault="0016549F" w:rsidP="00125AE0">
            <w:pPr>
              <w:spacing w:line="240" w:lineRule="auto"/>
              <w:ind w:firstLine="48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作业内容</w:t>
            </w:r>
          </w:p>
        </w:tc>
        <w:tc>
          <w:tcPr>
            <w:tcW w:w="851" w:type="dxa"/>
            <w:tcBorders>
              <w:top w:val="single" w:sz="4" w:space="0" w:color="auto"/>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分值</w:t>
            </w:r>
          </w:p>
        </w:tc>
      </w:tr>
      <w:tr w:rsidR="0016549F" w:rsidTr="00125AE0">
        <w:trPr>
          <w:trHeight w:val="448"/>
          <w:jc w:val="center"/>
        </w:trPr>
        <w:tc>
          <w:tcPr>
            <w:tcW w:w="923" w:type="dxa"/>
            <w:vMerge w:val="restart"/>
            <w:tcBorders>
              <w:top w:val="nil"/>
              <w:left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帕</w:t>
            </w:r>
            <w:proofErr w:type="gramStart"/>
            <w:r>
              <w:rPr>
                <w:rFonts w:ascii="仿宋_GB2312" w:eastAsia="仿宋_GB2312" w:hAnsi="仿宋_GB2312" w:cs="仿宋_GB2312" w:hint="eastAsia"/>
                <w:color w:val="000000"/>
                <w:sz w:val="24"/>
                <w:szCs w:val="24"/>
              </w:rPr>
              <w:t>萨</w:t>
            </w:r>
            <w:proofErr w:type="gramEnd"/>
            <w:r>
              <w:rPr>
                <w:rFonts w:ascii="仿宋_GB2312" w:eastAsia="仿宋_GB2312" w:hAnsi="仿宋_GB2312" w:cs="仿宋_GB2312" w:hint="eastAsia"/>
                <w:color w:val="000000"/>
                <w:sz w:val="24"/>
                <w:szCs w:val="24"/>
              </w:rPr>
              <w:t>特</w:t>
            </w:r>
          </w:p>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整车</w:t>
            </w:r>
          </w:p>
        </w:tc>
        <w:tc>
          <w:tcPr>
            <w:tcW w:w="5172"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rPr>
                <w:rFonts w:ascii="仿宋_GB2312" w:eastAsia="仿宋_GB2312" w:hAnsi="仿宋_GB2312" w:cs="仿宋_GB2312"/>
                <w:color w:val="000000"/>
                <w:sz w:val="24"/>
                <w:szCs w:val="24"/>
                <w:highlight w:val="yellow"/>
              </w:rPr>
            </w:pPr>
            <w:r>
              <w:rPr>
                <w:rFonts w:ascii="仿宋_GB2312" w:eastAsia="仿宋_GB2312" w:hAnsi="仿宋_GB2312" w:cs="仿宋_GB2312" w:hint="eastAsia"/>
                <w:color w:val="000000"/>
                <w:sz w:val="24"/>
                <w:szCs w:val="24"/>
              </w:rPr>
              <w:t>起动机不转的故障诊断</w:t>
            </w:r>
          </w:p>
        </w:tc>
        <w:tc>
          <w:tcPr>
            <w:tcW w:w="851"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w:t>
            </w:r>
          </w:p>
        </w:tc>
      </w:tr>
      <w:tr w:rsidR="0016549F" w:rsidTr="00125AE0">
        <w:trPr>
          <w:trHeight w:val="448"/>
          <w:jc w:val="center"/>
        </w:trPr>
        <w:tc>
          <w:tcPr>
            <w:tcW w:w="923" w:type="dxa"/>
            <w:vMerge/>
            <w:tcBorders>
              <w:left w:val="single" w:sz="4" w:space="0" w:color="auto"/>
              <w:right w:val="single" w:sz="4" w:space="0" w:color="auto"/>
            </w:tcBorders>
            <w:vAlign w:val="center"/>
          </w:tcPr>
          <w:p w:rsidR="0016549F" w:rsidRDefault="0016549F" w:rsidP="00125AE0">
            <w:pPr>
              <w:spacing w:line="240" w:lineRule="auto"/>
              <w:ind w:firstLine="480"/>
              <w:rPr>
                <w:rFonts w:ascii="仿宋_GB2312" w:eastAsia="仿宋_GB2312" w:hAnsi="仿宋_GB2312" w:cs="仿宋_GB2312"/>
                <w:color w:val="000000"/>
                <w:sz w:val="24"/>
                <w:szCs w:val="24"/>
              </w:rPr>
            </w:pPr>
          </w:p>
        </w:tc>
        <w:tc>
          <w:tcPr>
            <w:tcW w:w="5172"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rPr>
                <w:rFonts w:ascii="仿宋_GB2312" w:eastAsia="仿宋_GB2312" w:hAnsi="仿宋_GB2312" w:cs="仿宋_GB2312"/>
                <w:color w:val="000000"/>
                <w:sz w:val="24"/>
                <w:szCs w:val="24"/>
                <w:highlight w:val="yellow"/>
              </w:rPr>
            </w:pPr>
            <w:r>
              <w:rPr>
                <w:rFonts w:ascii="仿宋_GB2312" w:eastAsia="仿宋_GB2312" w:hAnsi="仿宋_GB2312" w:cs="仿宋_GB2312" w:hint="eastAsia"/>
                <w:color w:val="000000"/>
                <w:sz w:val="24"/>
                <w:szCs w:val="24"/>
              </w:rPr>
              <w:t>发动机无法起动的故障诊断</w:t>
            </w:r>
          </w:p>
        </w:tc>
        <w:tc>
          <w:tcPr>
            <w:tcW w:w="851"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w:t>
            </w:r>
          </w:p>
        </w:tc>
      </w:tr>
      <w:tr w:rsidR="0016549F" w:rsidTr="00125AE0">
        <w:trPr>
          <w:trHeight w:val="448"/>
          <w:jc w:val="center"/>
        </w:trPr>
        <w:tc>
          <w:tcPr>
            <w:tcW w:w="923" w:type="dxa"/>
            <w:vMerge/>
            <w:tcBorders>
              <w:left w:val="single" w:sz="4" w:space="0" w:color="auto"/>
              <w:right w:val="single" w:sz="4" w:space="0" w:color="auto"/>
            </w:tcBorders>
            <w:vAlign w:val="center"/>
          </w:tcPr>
          <w:p w:rsidR="0016549F" w:rsidRDefault="0016549F" w:rsidP="00125AE0">
            <w:pPr>
              <w:spacing w:line="240" w:lineRule="auto"/>
              <w:ind w:firstLine="480"/>
              <w:rPr>
                <w:rFonts w:ascii="仿宋_GB2312" w:eastAsia="仿宋_GB2312" w:hAnsi="仿宋_GB2312" w:cs="仿宋_GB2312"/>
                <w:color w:val="000000"/>
                <w:sz w:val="24"/>
                <w:szCs w:val="24"/>
              </w:rPr>
            </w:pPr>
          </w:p>
        </w:tc>
        <w:tc>
          <w:tcPr>
            <w:tcW w:w="5172"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rPr>
                <w:rFonts w:ascii="仿宋_GB2312" w:eastAsia="仿宋_GB2312" w:hAnsi="仿宋_GB2312" w:cs="仿宋_GB2312"/>
                <w:color w:val="000000"/>
                <w:sz w:val="24"/>
                <w:szCs w:val="24"/>
                <w:highlight w:val="yellow"/>
              </w:rPr>
            </w:pPr>
            <w:r>
              <w:rPr>
                <w:rFonts w:ascii="仿宋_GB2312" w:eastAsia="仿宋_GB2312" w:hAnsi="仿宋_GB2312" w:cs="仿宋_GB2312" w:hint="eastAsia"/>
                <w:color w:val="000000"/>
                <w:sz w:val="24"/>
                <w:szCs w:val="24"/>
              </w:rPr>
              <w:t>发动机运转不良的故障诊断</w:t>
            </w:r>
          </w:p>
        </w:tc>
        <w:tc>
          <w:tcPr>
            <w:tcW w:w="851"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w:t>
            </w:r>
          </w:p>
        </w:tc>
      </w:tr>
      <w:tr w:rsidR="0016549F" w:rsidTr="00125AE0">
        <w:trPr>
          <w:trHeight w:val="448"/>
          <w:jc w:val="center"/>
        </w:trPr>
        <w:tc>
          <w:tcPr>
            <w:tcW w:w="923" w:type="dxa"/>
            <w:vMerge/>
            <w:tcBorders>
              <w:left w:val="single" w:sz="4" w:space="0" w:color="auto"/>
              <w:bottom w:val="single" w:sz="4" w:space="0" w:color="auto"/>
              <w:right w:val="single" w:sz="4" w:space="0" w:color="auto"/>
            </w:tcBorders>
            <w:vAlign w:val="center"/>
          </w:tcPr>
          <w:p w:rsidR="0016549F" w:rsidRDefault="0016549F" w:rsidP="00125AE0">
            <w:pPr>
              <w:spacing w:line="240" w:lineRule="auto"/>
              <w:ind w:firstLine="480"/>
              <w:rPr>
                <w:rFonts w:ascii="仿宋_GB2312" w:eastAsia="仿宋_GB2312" w:hAnsi="仿宋_GB2312" w:cs="仿宋_GB2312"/>
                <w:color w:val="000000"/>
                <w:sz w:val="24"/>
                <w:szCs w:val="24"/>
              </w:rPr>
            </w:pPr>
          </w:p>
        </w:tc>
        <w:tc>
          <w:tcPr>
            <w:tcW w:w="5172"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作业规范及职业素养</w:t>
            </w:r>
          </w:p>
        </w:tc>
        <w:tc>
          <w:tcPr>
            <w:tcW w:w="851"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p>
        </w:tc>
      </w:tr>
      <w:tr w:rsidR="0016549F" w:rsidTr="00125AE0">
        <w:trPr>
          <w:trHeight w:val="448"/>
          <w:jc w:val="center"/>
        </w:trPr>
        <w:tc>
          <w:tcPr>
            <w:tcW w:w="6095" w:type="dxa"/>
            <w:gridSpan w:val="2"/>
            <w:tcBorders>
              <w:top w:val="single" w:sz="4" w:space="0" w:color="auto"/>
              <w:left w:val="single" w:sz="4" w:space="0" w:color="auto"/>
              <w:bottom w:val="single" w:sz="4" w:space="0" w:color="auto"/>
              <w:right w:val="single" w:sz="4" w:space="0" w:color="auto"/>
            </w:tcBorders>
            <w:vAlign w:val="center"/>
          </w:tcPr>
          <w:p w:rsidR="0016549F" w:rsidRDefault="0016549F" w:rsidP="00125AE0">
            <w:pPr>
              <w:spacing w:line="240" w:lineRule="auto"/>
              <w:ind w:firstLine="48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合计</w:t>
            </w:r>
          </w:p>
        </w:tc>
        <w:tc>
          <w:tcPr>
            <w:tcW w:w="851" w:type="dxa"/>
            <w:tcBorders>
              <w:top w:val="nil"/>
              <w:left w:val="nil"/>
              <w:bottom w:val="single" w:sz="4" w:space="0" w:color="auto"/>
              <w:right w:val="single" w:sz="4" w:space="0" w:color="auto"/>
            </w:tcBorders>
            <w:vAlign w:val="center"/>
          </w:tcPr>
          <w:p w:rsidR="0016549F" w:rsidRDefault="0016549F" w:rsidP="00125AE0">
            <w:pPr>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bl>
    <w:bookmarkEnd w:id="2"/>
    <w:bookmarkEnd w:id="3"/>
    <w:p w:rsidR="0016549F" w:rsidRDefault="0016549F" w:rsidP="0016549F">
      <w:pPr>
        <w:pStyle w:val="2"/>
        <w:spacing w:before="0" w:after="0" w:line="560" w:lineRule="exact"/>
        <w:ind w:firstLineChars="0" w:firstLine="0"/>
        <w:rPr>
          <w:rFonts w:ascii="仿宋_GB2312" w:eastAsia="仿宋_GB2312" w:hAnsi="仿宋_GB2312" w:cs="仿宋_GB2312"/>
          <w:b w:val="0"/>
          <w:color w:val="000000"/>
          <w:sz w:val="28"/>
          <w:szCs w:val="28"/>
        </w:rPr>
      </w:pPr>
      <w:r>
        <w:rPr>
          <w:rFonts w:ascii="仿宋_GB2312" w:eastAsia="仿宋_GB2312" w:hAnsi="仿宋_GB2312" w:cs="仿宋_GB2312" w:hint="eastAsia"/>
          <w:color w:val="000000"/>
          <w:sz w:val="28"/>
          <w:szCs w:val="28"/>
        </w:rPr>
        <w:t>二、知识和技能考核点</w:t>
      </w:r>
      <w:bookmarkEnd w:id="4"/>
    </w:p>
    <w:p w:rsidR="0016549F" w:rsidRDefault="0016549F" w:rsidP="0016549F">
      <w:pPr>
        <w:spacing w:line="240" w:lineRule="auto"/>
        <w:ind w:firstLine="560"/>
        <w:jc w:val="left"/>
        <w:rPr>
          <w:rFonts w:ascii="仿宋_GB2312" w:eastAsia="仿宋_GB2312" w:cs="仿宋"/>
          <w:szCs w:val="28"/>
        </w:rPr>
      </w:pPr>
      <w:r>
        <w:rPr>
          <w:rFonts w:ascii="仿宋_GB2312" w:eastAsia="仿宋_GB2312" w:cs="仿宋" w:hint="eastAsia"/>
          <w:szCs w:val="28"/>
        </w:rPr>
        <w:t>本次大赛要求选手在规定的时间内完成帕萨特汽车发动机起动机不转、发动机无法起动、运转不良三种故障的诊断和排除工作，要求选手在诊断的同时，用诊断报告的形式记录诊断流程、设备的使用和结果分析。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考核的知识和技能点包括以下几点：</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 了解汽车维修过程中容易出现那些安全事故以及如何预防。</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（2）了解通过车辆身份证号码（VIN）识别车辆的方法，即VIN各个字母或数字代表的含义。</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（3）理解电控汽油发动机的通用诊断和检测过程。</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lastRenderedPageBreak/>
        <w:t>（4）理解汽车电控系统的诊断和检测方法。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（5）了解汽油发动机在诊断和检测作业中通常使用哪些检测和诊断仪器，每种检测和诊断仪器的作用和特点是什么。</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（6）掌握电控汽油发动机系统的每种传感器、执行器元件的工作原理、电路连接和信号特点；理解元器件故障对发动机性能的影响；掌握每一种元件的诊断和测试过程以及对测试诊断结果进行分析等。</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（7）掌握汽油发动机燃油系统压力的测试方法，掌握燃油压力过高或过低的故障分析方法。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（8）理解汽油发动机控制系统控制喷油量的三个因素，掌握喷油器工作性能的测试方法，并能对测试结果进行正确的分析。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（9）理解影响发动机点火正时的各种因素，掌握利用点火正时灯或汽车专用解码器测试发动机点火正时的方法，并能对测试结果进行正确的分析。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10）理解喷油脉冲宽度信号的影响因素，掌握利用汽车专用示波器、汽车专用解码器或汽车专用万用表获取喷油脉冲宽度信号的方法；掌握利用喷油器脉冲宽度信号测试发动机电控系统工作性能的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11）理解氧传感器信号的影响因素，掌握利用汽车专用示波器、汽车专用解码器或汽车专用万用表获取氧传感器信号的方法；掌握利用氧传感器信号测试发动机电控系统工作性能的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（12）理解长期燃油修正系数和短期燃油修正系数的意义，掌握利用汽车专用解码器获取长期燃油修正系数和短期燃油修正系数的方法；掌握利用长期燃油修正系数和短期燃油修正系数测试发动机电</w:t>
      </w:r>
      <w:r>
        <w:rPr>
          <w:rFonts w:ascii="仿宋_GB2312" w:eastAsia="仿宋_GB2312" w:cs="仿宋" w:hint="eastAsia"/>
          <w:szCs w:val="28"/>
        </w:rPr>
        <w:lastRenderedPageBreak/>
        <w:t>控系统工作性能的方法，并能对测试结果进行正确的分析。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（13）理解汽油发动机尾气中CO、HC、CO</w:t>
      </w:r>
      <w:r>
        <w:rPr>
          <w:rFonts w:ascii="仿宋_GB2312" w:eastAsia="仿宋_GB2312" w:cs="仿宋" w:hint="eastAsia"/>
          <w:szCs w:val="28"/>
          <w:vertAlign w:val="subscript"/>
        </w:rPr>
        <w:t>2</w:t>
      </w:r>
      <w:r>
        <w:rPr>
          <w:rFonts w:ascii="仿宋_GB2312" w:eastAsia="仿宋_GB2312" w:cs="仿宋" w:hint="eastAsia"/>
          <w:szCs w:val="28"/>
        </w:rPr>
        <w:t>和O</w:t>
      </w:r>
      <w:r>
        <w:rPr>
          <w:rFonts w:ascii="仿宋_GB2312" w:eastAsia="仿宋_GB2312" w:cs="仿宋" w:hint="eastAsia"/>
          <w:szCs w:val="28"/>
          <w:vertAlign w:val="subscript"/>
        </w:rPr>
        <w:t>2</w:t>
      </w:r>
      <w:r>
        <w:rPr>
          <w:rFonts w:ascii="仿宋_GB2312" w:eastAsia="仿宋_GB2312" w:cs="仿宋" w:hint="eastAsia"/>
          <w:szCs w:val="28"/>
        </w:rPr>
        <w:t>的形成机理；掌握四种尾气的量值标准；掌握尾气分析仪的使用方法和日常维护方法；掌握利用尾气检测数值对发动机的工作性能进行检测，并能对测试结果进行正确的分析。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（14）理解初级点火波形的各个参数的含义；掌握初级点火波形的获取办法；掌握利用初级点火波形对发动机特别是点火系统的工作性能进行检测，并能对测试结果进行正确的分析。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（15）理解次级点火波形的各个参数的含义；掌握次级点火波形的获取办法；掌握利用次级点火波形对发动机特别是点火系统的工作性能进行检测，并能对测试结果进行正确的分析。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（16）理解汽油发动机</w:t>
      </w:r>
      <w:proofErr w:type="gramStart"/>
      <w:r>
        <w:rPr>
          <w:rFonts w:ascii="仿宋_GB2312" w:eastAsia="仿宋_GB2312" w:cs="仿宋" w:hint="eastAsia"/>
          <w:szCs w:val="28"/>
        </w:rPr>
        <w:t>怠</w:t>
      </w:r>
      <w:proofErr w:type="gramEnd"/>
      <w:r>
        <w:rPr>
          <w:rFonts w:ascii="仿宋_GB2312" w:eastAsia="仿宋_GB2312" w:cs="仿宋" w:hint="eastAsia"/>
          <w:szCs w:val="28"/>
        </w:rPr>
        <w:t>速控制原理；掌握利用汽车专用解码器的数据流或汽车专用示波器测试发动机</w:t>
      </w:r>
      <w:proofErr w:type="gramStart"/>
      <w:r>
        <w:rPr>
          <w:rFonts w:ascii="仿宋_GB2312" w:eastAsia="仿宋_GB2312" w:cs="仿宋" w:hint="eastAsia"/>
          <w:szCs w:val="28"/>
        </w:rPr>
        <w:t>怠</w:t>
      </w:r>
      <w:proofErr w:type="gramEnd"/>
      <w:r>
        <w:rPr>
          <w:rFonts w:ascii="仿宋_GB2312" w:eastAsia="仿宋_GB2312" w:cs="仿宋" w:hint="eastAsia"/>
          <w:szCs w:val="28"/>
        </w:rPr>
        <w:t>速控制性能的方法，并能对测试结果进行正确的分析。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（17）理解汽油发动机燃油供给系统（</w:t>
      </w:r>
      <w:proofErr w:type="gramStart"/>
      <w:r>
        <w:rPr>
          <w:rFonts w:ascii="仿宋_GB2312" w:eastAsia="仿宋_GB2312" w:cs="仿宋" w:hint="eastAsia"/>
          <w:szCs w:val="28"/>
        </w:rPr>
        <w:t>含双喷系统</w:t>
      </w:r>
      <w:proofErr w:type="gramEnd"/>
      <w:r>
        <w:rPr>
          <w:rFonts w:ascii="仿宋_GB2312" w:eastAsia="仿宋_GB2312" w:cs="仿宋" w:hint="eastAsia"/>
          <w:szCs w:val="28"/>
        </w:rPr>
        <w:t>）的常见故障（主要包括系统压力过高、系统压力过低、系统不工作、各缸喷油器的喷油量不均匀、喷油器工作性能不符合要求等）的形成机理；掌握汽油发动机燃油供给系统（</w:t>
      </w:r>
      <w:proofErr w:type="gramStart"/>
      <w:r>
        <w:rPr>
          <w:rFonts w:ascii="仿宋_GB2312" w:eastAsia="仿宋_GB2312" w:cs="仿宋" w:hint="eastAsia"/>
          <w:szCs w:val="28"/>
        </w:rPr>
        <w:t>含双喷系统</w:t>
      </w:r>
      <w:proofErr w:type="gramEnd"/>
      <w:r>
        <w:rPr>
          <w:rFonts w:ascii="仿宋_GB2312" w:eastAsia="仿宋_GB2312" w:cs="仿宋" w:hint="eastAsia"/>
          <w:szCs w:val="28"/>
        </w:rPr>
        <w:t>）的常见故障的诊断思路；掌握系统测试过程中所需仪器的使用方法。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18）理解汽油发动机点火系统常见故障（主要包括点火正时失准、整个点火系统不工作、整个点火系统能量不足、整个点火系统能量过高、个别气缸火花塞不工作或点火能量不足等）的形成机理；掌握汽油发动机点火系统常见故障的诊断思路；掌握系统测试过程中所需仪器的使用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lastRenderedPageBreak/>
        <w:t>（19）理解汽油发动机</w:t>
      </w:r>
      <w:proofErr w:type="gramStart"/>
      <w:r>
        <w:rPr>
          <w:rFonts w:ascii="仿宋_GB2312" w:eastAsia="仿宋_GB2312" w:cs="仿宋" w:hint="eastAsia"/>
          <w:szCs w:val="28"/>
        </w:rPr>
        <w:t>怠</w:t>
      </w:r>
      <w:proofErr w:type="gramEnd"/>
      <w:r>
        <w:rPr>
          <w:rFonts w:ascii="仿宋_GB2312" w:eastAsia="仿宋_GB2312" w:cs="仿宋" w:hint="eastAsia"/>
          <w:szCs w:val="28"/>
        </w:rPr>
        <w:t>速控制系统常见故障（主要包括无</w:t>
      </w:r>
      <w:proofErr w:type="gramStart"/>
      <w:r>
        <w:rPr>
          <w:rFonts w:ascii="仿宋_GB2312" w:eastAsia="仿宋_GB2312" w:cs="仿宋" w:hint="eastAsia"/>
          <w:szCs w:val="28"/>
        </w:rPr>
        <w:t>怠</w:t>
      </w:r>
      <w:proofErr w:type="gramEnd"/>
      <w:r>
        <w:rPr>
          <w:rFonts w:ascii="仿宋_GB2312" w:eastAsia="仿宋_GB2312" w:cs="仿宋" w:hint="eastAsia"/>
          <w:szCs w:val="28"/>
        </w:rPr>
        <w:t>速、</w:t>
      </w:r>
      <w:proofErr w:type="gramStart"/>
      <w:r>
        <w:rPr>
          <w:rFonts w:ascii="仿宋_GB2312" w:eastAsia="仿宋_GB2312" w:cs="仿宋" w:hint="eastAsia"/>
          <w:szCs w:val="28"/>
        </w:rPr>
        <w:t>怠</w:t>
      </w:r>
      <w:proofErr w:type="gramEnd"/>
      <w:r>
        <w:rPr>
          <w:rFonts w:ascii="仿宋_GB2312" w:eastAsia="仿宋_GB2312" w:cs="仿宋" w:hint="eastAsia"/>
          <w:szCs w:val="28"/>
        </w:rPr>
        <w:t>速过高、</w:t>
      </w:r>
      <w:proofErr w:type="gramStart"/>
      <w:r>
        <w:rPr>
          <w:rFonts w:ascii="仿宋_GB2312" w:eastAsia="仿宋_GB2312" w:cs="仿宋" w:hint="eastAsia"/>
          <w:szCs w:val="28"/>
        </w:rPr>
        <w:t>怠</w:t>
      </w:r>
      <w:proofErr w:type="gramEnd"/>
      <w:r>
        <w:rPr>
          <w:rFonts w:ascii="仿宋_GB2312" w:eastAsia="仿宋_GB2312" w:cs="仿宋" w:hint="eastAsia"/>
          <w:szCs w:val="28"/>
        </w:rPr>
        <w:t>速过低、</w:t>
      </w:r>
      <w:proofErr w:type="gramStart"/>
      <w:r>
        <w:rPr>
          <w:rFonts w:ascii="仿宋_GB2312" w:eastAsia="仿宋_GB2312" w:cs="仿宋" w:hint="eastAsia"/>
          <w:szCs w:val="28"/>
        </w:rPr>
        <w:t>怠</w:t>
      </w:r>
      <w:proofErr w:type="gramEnd"/>
      <w:r>
        <w:rPr>
          <w:rFonts w:ascii="仿宋_GB2312" w:eastAsia="仿宋_GB2312" w:cs="仿宋" w:hint="eastAsia"/>
          <w:szCs w:val="28"/>
        </w:rPr>
        <w:t>速抖动等）的形成机理；掌握汽油发动机</w:t>
      </w:r>
      <w:proofErr w:type="gramStart"/>
      <w:r>
        <w:rPr>
          <w:rFonts w:ascii="仿宋_GB2312" w:eastAsia="仿宋_GB2312" w:cs="仿宋" w:hint="eastAsia"/>
          <w:szCs w:val="28"/>
        </w:rPr>
        <w:t>怠</w:t>
      </w:r>
      <w:proofErr w:type="gramEnd"/>
      <w:r>
        <w:rPr>
          <w:rFonts w:ascii="仿宋_GB2312" w:eastAsia="仿宋_GB2312" w:cs="仿宋" w:hint="eastAsia"/>
          <w:szCs w:val="28"/>
        </w:rPr>
        <w:t>速控制系统常见故障的诊断思路；掌握系统测试过程中所需仪器的使用方法。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（20）理解废气循环量过大或过小对发动机性能的影响，了解废气再循环系统的检测和故障诊断方法。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21）理解三元催化转换器、氧传感器和闭环控制系统的工作原理；掌握判定氧传感器工作是否正常的检测和诊断方法；掌握判定发动机是否处于闭环状态的测试方法；掌握判定三元催化转换器工作是否正常的三种常用的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（22）理解进气控制系统的工作原理，了解进气控制系统的检测和故障诊断方法。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（23）理解配气相位控制及可变升程控制系统的工作原理，了解配气相位控制及可变升程控制系统的检测和故障诊断方法。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（24）理解涡轮增压系统的工作原理，了解涡轮增压系统的检测和故障诊断方法。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（25）理解冷却系统（含智能热能管理系统）的工作原理，了解冷却系统含智能热能管理系统的检测和故障诊断方法。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（26）了解自诊断系统的发展过程、技术规范和局限性；掌握故障诊断仪的使用方法，重点掌握数据流的分析和利用OBD-II的功用进行相关系统的诊断和测试。</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（27）掌握汽车蓄电池的结构和工作原理，理解蓄电池测试参数的含义，掌握蓄电池的测试方法，学会测试仪器的使用，并能对测试结果进行正确的分析。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lastRenderedPageBreak/>
        <w:t>（28）掌握汽油发动机充电系统的构成和工作原理，理解汽油发动机充电系统测试参数的含义，掌握汽油发动机充电系统的测试方法，学会测试仪器的使用，并能对测试结果进行正确的分析。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（29）掌握汽油发动机起动系统的构成和工作原理，理解汽油发动机起动系统测试参数的含义，掌握汽油发动机起动系统的测试方法，学会测试仪器的使用，并能对测试结果进行正确的分析。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（30）掌握与汽油发动机相关的CAN-BUS系统的构成和工作原理，理解CAN-BUS系统相关测试参数的含义，掌握CAN-BUS系统的测试方法，学会测试仪器的使用，并能对测试结果进行正确的分析。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（31）</w:t>
      </w:r>
      <w:proofErr w:type="gramStart"/>
      <w:r>
        <w:rPr>
          <w:rFonts w:ascii="仿宋_GB2312" w:eastAsia="仿宋_GB2312" w:cs="仿宋" w:hint="eastAsia"/>
          <w:szCs w:val="28"/>
        </w:rPr>
        <w:t>掌握驻</w:t>
      </w:r>
      <w:proofErr w:type="gramEnd"/>
      <w:r>
        <w:rPr>
          <w:rFonts w:ascii="仿宋_GB2312" w:eastAsia="仿宋_GB2312" w:cs="仿宋" w:hint="eastAsia"/>
          <w:szCs w:val="28"/>
        </w:rPr>
        <w:t>车防盗系统的构成和工作原理，</w:t>
      </w:r>
      <w:proofErr w:type="gramStart"/>
      <w:r>
        <w:rPr>
          <w:rFonts w:ascii="仿宋_GB2312" w:eastAsia="仿宋_GB2312" w:cs="仿宋" w:hint="eastAsia"/>
          <w:szCs w:val="28"/>
        </w:rPr>
        <w:t>理解驻</w:t>
      </w:r>
      <w:proofErr w:type="gramEnd"/>
      <w:r>
        <w:rPr>
          <w:rFonts w:ascii="仿宋_GB2312" w:eastAsia="仿宋_GB2312" w:cs="仿宋" w:hint="eastAsia"/>
          <w:szCs w:val="28"/>
        </w:rPr>
        <w:t>车防盗</w:t>
      </w:r>
      <w:proofErr w:type="gramStart"/>
      <w:r>
        <w:rPr>
          <w:rFonts w:ascii="仿宋_GB2312" w:eastAsia="仿宋_GB2312" w:cs="仿宋" w:hint="eastAsia"/>
          <w:szCs w:val="28"/>
        </w:rPr>
        <w:t>系统系统</w:t>
      </w:r>
      <w:proofErr w:type="gramEnd"/>
      <w:r>
        <w:rPr>
          <w:rFonts w:ascii="仿宋_GB2312" w:eastAsia="仿宋_GB2312" w:cs="仿宋" w:hint="eastAsia"/>
          <w:szCs w:val="28"/>
        </w:rPr>
        <w:t>相关测试参数的含义，</w:t>
      </w:r>
      <w:proofErr w:type="gramStart"/>
      <w:r>
        <w:rPr>
          <w:rFonts w:ascii="仿宋_GB2312" w:eastAsia="仿宋_GB2312" w:cs="仿宋" w:hint="eastAsia"/>
          <w:szCs w:val="28"/>
        </w:rPr>
        <w:t>掌握驻</w:t>
      </w:r>
      <w:proofErr w:type="gramEnd"/>
      <w:r>
        <w:rPr>
          <w:rFonts w:ascii="仿宋_GB2312" w:eastAsia="仿宋_GB2312" w:cs="仿宋" w:hint="eastAsia"/>
          <w:szCs w:val="28"/>
        </w:rPr>
        <w:t>车防盗系统的测试和匹配方法，学会测试仪器的使用，并能对测试结果进行正确的分析。</w:t>
      </w:r>
    </w:p>
    <w:p w:rsidR="0016549F" w:rsidRDefault="0016549F" w:rsidP="0016549F">
      <w:pPr>
        <w:snapToGrid w:val="0"/>
        <w:ind w:leftChars="8" w:left="22" w:firstLineChars="191" w:firstLine="535"/>
        <w:rPr>
          <w:rFonts w:ascii="仿宋_GB2312" w:eastAsia="仿宋_GB2312" w:cs="仿宋"/>
          <w:szCs w:val="28"/>
        </w:rPr>
      </w:pPr>
      <w:r>
        <w:rPr>
          <w:rFonts w:ascii="仿宋_GB2312" w:eastAsia="仿宋_GB2312" w:cs="仿宋" w:hint="eastAsia"/>
          <w:szCs w:val="28"/>
        </w:rPr>
        <w:t>（32）理解汽油发动机常见故障（主要包括发动机无法起动、发动机起动困难、发动机</w:t>
      </w:r>
      <w:proofErr w:type="gramStart"/>
      <w:r>
        <w:rPr>
          <w:rFonts w:ascii="仿宋_GB2312" w:eastAsia="仿宋_GB2312" w:cs="仿宋" w:hint="eastAsia"/>
          <w:szCs w:val="28"/>
        </w:rPr>
        <w:t>怠</w:t>
      </w:r>
      <w:proofErr w:type="gramEnd"/>
      <w:r>
        <w:rPr>
          <w:rFonts w:ascii="仿宋_GB2312" w:eastAsia="仿宋_GB2312" w:cs="仿宋" w:hint="eastAsia"/>
          <w:szCs w:val="28"/>
        </w:rPr>
        <w:t>速不稳、发动机动力不足、发动机尾气排放超标等）的形成机理；掌握汽油发动机常见故障的诊断思路；掌握系统测试过程中所需仪器的使用方法。</w:t>
      </w:r>
    </w:p>
    <w:p w:rsidR="0016549F" w:rsidRDefault="0016549F" w:rsidP="0016549F">
      <w:pPr>
        <w:pStyle w:val="2"/>
        <w:spacing w:before="0" w:after="0" w:line="560" w:lineRule="exact"/>
        <w:ind w:firstLineChars="0" w:firstLine="0"/>
        <w:rPr>
          <w:rFonts w:ascii="仿宋_GB2312" w:eastAsia="仿宋_GB2312" w:hAnsi="仿宋_GB2312" w:cs="仿宋_GB2312"/>
          <w:b w:val="0"/>
          <w:color w:val="000000"/>
          <w:sz w:val="28"/>
          <w:szCs w:val="28"/>
        </w:rPr>
      </w:pPr>
      <w:bookmarkStart w:id="5" w:name="_Toc32067"/>
      <w:r>
        <w:rPr>
          <w:rFonts w:ascii="仿宋_GB2312" w:eastAsia="仿宋_GB2312" w:hAnsi="仿宋_GB2312" w:cs="仿宋_GB2312" w:hint="eastAsia"/>
          <w:color w:val="000000"/>
          <w:sz w:val="28"/>
          <w:szCs w:val="28"/>
        </w:rPr>
        <w:t>三、故障设置范围</w:t>
      </w:r>
      <w:bookmarkEnd w:id="5"/>
    </w:p>
    <w:p w:rsidR="0016549F" w:rsidRDefault="0016549F" w:rsidP="0016549F">
      <w:pPr>
        <w:ind w:firstLine="560"/>
        <w:contextualSpacing/>
        <w:jc w:val="left"/>
        <w:rPr>
          <w:rFonts w:ascii="仿宋_GB2312" w:eastAsia="仿宋_GB2312" w:hAnsi="仿宋_GB2312" w:cs="仿宋_GB2312"/>
          <w:color w:val="000000"/>
          <w:sz w:val="30"/>
          <w:szCs w:val="30"/>
        </w:rPr>
      </w:pPr>
      <w:r>
        <w:rPr>
          <w:rFonts w:ascii="仿宋_GB2312" w:eastAsia="仿宋_GB2312" w:cs="仿宋" w:hint="eastAsia"/>
          <w:szCs w:val="28"/>
        </w:rPr>
        <w:t>围绕常见的故障现象和故障点，在其相关电路上设置故障点，具体见表九。</w:t>
      </w:r>
    </w:p>
    <w:p w:rsidR="0016549F" w:rsidRDefault="0016549F" w:rsidP="0016549F">
      <w:pPr>
        <w:ind w:firstLine="482"/>
        <w:contextualSpacing/>
        <w:jc w:val="center"/>
        <w:rPr>
          <w:b/>
          <w:color w:val="000000"/>
          <w:sz w:val="24"/>
          <w:szCs w:val="24"/>
        </w:rPr>
      </w:pPr>
      <w:r>
        <w:rPr>
          <w:rFonts w:hint="eastAsia"/>
          <w:b/>
          <w:color w:val="000000"/>
          <w:sz w:val="24"/>
          <w:szCs w:val="24"/>
        </w:rPr>
        <w:t>表九  汽车发动机系统检修赛项故障设置依据</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93"/>
      </w:tblGrid>
      <w:tr w:rsidR="0016549F" w:rsidTr="00125AE0">
        <w:trPr>
          <w:jc w:val="center"/>
        </w:trPr>
        <w:tc>
          <w:tcPr>
            <w:tcW w:w="1278" w:type="dxa"/>
            <w:vAlign w:val="center"/>
          </w:tcPr>
          <w:p w:rsidR="0016549F" w:rsidRDefault="0016549F" w:rsidP="00125AE0">
            <w:pPr>
              <w:spacing w:line="240" w:lineRule="auto"/>
              <w:ind w:firstLineChars="0" w:firstLine="0"/>
              <w:contextualSpacing/>
              <w:jc w:val="righ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故障现象</w:t>
            </w:r>
          </w:p>
        </w:tc>
        <w:tc>
          <w:tcPr>
            <w:tcW w:w="7793" w:type="dxa"/>
            <w:vAlign w:val="center"/>
          </w:tcPr>
          <w:p w:rsidR="0016549F" w:rsidRDefault="0016549F" w:rsidP="00125AE0">
            <w:pPr>
              <w:spacing w:line="240" w:lineRule="auto"/>
              <w:ind w:firstLineChars="0" w:firstLine="0"/>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故障设置点</w:t>
            </w:r>
          </w:p>
        </w:tc>
      </w:tr>
      <w:tr w:rsidR="0016549F" w:rsidTr="00125AE0">
        <w:trPr>
          <w:trHeight w:val="416"/>
          <w:jc w:val="center"/>
        </w:trPr>
        <w:tc>
          <w:tcPr>
            <w:tcW w:w="1278" w:type="dxa"/>
            <w:vAlign w:val="center"/>
          </w:tcPr>
          <w:p w:rsidR="0016549F" w:rsidRDefault="0016549F" w:rsidP="00125AE0">
            <w:pPr>
              <w:snapToGrid w:val="0"/>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起动机</w:t>
            </w:r>
          </w:p>
          <w:p w:rsidR="0016549F" w:rsidRDefault="0016549F" w:rsidP="00125AE0">
            <w:pPr>
              <w:snapToGrid w:val="0"/>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不运转</w:t>
            </w:r>
          </w:p>
        </w:tc>
        <w:tc>
          <w:tcPr>
            <w:tcW w:w="7793" w:type="dxa"/>
            <w:vAlign w:val="center"/>
          </w:tcPr>
          <w:p w:rsidR="0016549F" w:rsidRDefault="0016549F" w:rsidP="00125AE0">
            <w:pPr>
              <w:snapToGrid w:val="0"/>
              <w:spacing w:line="240" w:lineRule="auto"/>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1.围绕造成发动机控制模块不能进入工作状态设置故障，故障主要设置在各种电源电路上，具体包括相关控制模块、保险丝、继电器、线路及连接器。</w:t>
            </w:r>
          </w:p>
          <w:p w:rsidR="0016549F" w:rsidRDefault="0016549F" w:rsidP="00125AE0">
            <w:pPr>
              <w:snapToGrid w:val="0"/>
              <w:spacing w:line="240" w:lineRule="auto"/>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2.围绕造成起动机无法正常工作设置故障，故障主要设置在相关控制模块、继电器、相关保险丝、起动机、线路及连接器、关键信号的输入等。</w:t>
            </w:r>
          </w:p>
          <w:p w:rsidR="0016549F" w:rsidRDefault="0016549F" w:rsidP="00125AE0">
            <w:pPr>
              <w:snapToGrid w:val="0"/>
              <w:spacing w:line="240" w:lineRule="auto"/>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注意：本故障诊断要求完成详细诊断报告，按照故障树的诊断理论，展示清晰的诊断思路，不要随意合并诊断步骤，做到条理清楚、设备选用合理、</w:t>
            </w:r>
            <w:r>
              <w:rPr>
                <w:rFonts w:ascii="仿宋_GB2312" w:eastAsia="仿宋_GB2312" w:hAnsi="仿宋_GB2312" w:cs="仿宋_GB2312" w:hint="eastAsia"/>
                <w:sz w:val="24"/>
                <w:szCs w:val="24"/>
              </w:rPr>
              <w:lastRenderedPageBreak/>
              <w:t>诊断明确、结论正确。</w:t>
            </w:r>
          </w:p>
        </w:tc>
      </w:tr>
      <w:tr w:rsidR="0016549F" w:rsidTr="00125AE0">
        <w:trPr>
          <w:jc w:val="center"/>
        </w:trPr>
        <w:tc>
          <w:tcPr>
            <w:tcW w:w="1278" w:type="dxa"/>
            <w:vAlign w:val="center"/>
          </w:tcPr>
          <w:p w:rsidR="0016549F" w:rsidRDefault="0016549F" w:rsidP="00125AE0">
            <w:pPr>
              <w:snapToGrid w:val="0"/>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起动机正常运转，发动机无法起动</w:t>
            </w:r>
          </w:p>
        </w:tc>
        <w:tc>
          <w:tcPr>
            <w:tcW w:w="7793" w:type="dxa"/>
          </w:tcPr>
          <w:p w:rsidR="0016549F" w:rsidRDefault="0016549F" w:rsidP="00125AE0">
            <w:pPr>
              <w:numPr>
                <w:ilvl w:val="0"/>
                <w:numId w:val="1"/>
              </w:numPr>
              <w:snapToGrid w:val="0"/>
              <w:spacing w:line="240" w:lineRule="auto"/>
              <w:ind w:firstLineChars="0" w:firstLine="0"/>
              <w:jc w:val="left"/>
              <w:rPr>
                <w:rFonts w:ascii="仿宋_GB2312" w:eastAsia="仿宋_GB2312" w:hAnsi="仿宋_GB2312" w:cs="仿宋_GB2312"/>
                <w:sz w:val="24"/>
                <w:szCs w:val="24"/>
              </w:rPr>
            </w:pPr>
            <w:bookmarkStart w:id="6" w:name="OLE_LINK6"/>
            <w:bookmarkStart w:id="7" w:name="OLE_LINK7"/>
            <w:r>
              <w:rPr>
                <w:rFonts w:ascii="仿宋_GB2312" w:eastAsia="仿宋_GB2312" w:hAnsi="仿宋_GB2312" w:cs="仿宋_GB2312" w:hint="eastAsia"/>
                <w:sz w:val="24"/>
                <w:szCs w:val="24"/>
              </w:rPr>
              <w:t>围绕起动机正常运转、发动机无法起动的故障现象设置故障，故障点主要设置在控制模块、</w:t>
            </w:r>
            <w:proofErr w:type="gramStart"/>
            <w:r>
              <w:rPr>
                <w:rFonts w:ascii="仿宋_GB2312" w:eastAsia="仿宋_GB2312" w:hAnsi="仿宋_GB2312" w:cs="仿宋_GB2312" w:hint="eastAsia"/>
                <w:sz w:val="24"/>
                <w:szCs w:val="24"/>
              </w:rPr>
              <w:t>电源及搭铁</w:t>
            </w:r>
            <w:proofErr w:type="gramEnd"/>
            <w:r>
              <w:rPr>
                <w:rFonts w:ascii="仿宋_GB2312" w:eastAsia="仿宋_GB2312" w:hAnsi="仿宋_GB2312" w:cs="仿宋_GB2312" w:hint="eastAsia"/>
                <w:sz w:val="24"/>
                <w:szCs w:val="24"/>
              </w:rPr>
              <w:t>电路、控制模块的输入输出信号、传感器、执行器、连接器等。</w:t>
            </w:r>
            <w:bookmarkEnd w:id="6"/>
            <w:bookmarkEnd w:id="7"/>
          </w:p>
          <w:p w:rsidR="0016549F" w:rsidRDefault="0016549F" w:rsidP="00125AE0">
            <w:pPr>
              <w:snapToGrid w:val="0"/>
              <w:spacing w:line="240" w:lineRule="auto"/>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注意：本故障诊断要求完成详细诊断报告，按照故障树的诊断理论，展示清晰的诊断思路，不要随意合并诊断步骤，做到条理清楚、设备选用合理、诊断明确、结论正确。</w:t>
            </w:r>
          </w:p>
        </w:tc>
      </w:tr>
      <w:tr w:rsidR="0016549F" w:rsidTr="00125AE0">
        <w:trPr>
          <w:jc w:val="center"/>
        </w:trPr>
        <w:tc>
          <w:tcPr>
            <w:tcW w:w="1278" w:type="dxa"/>
            <w:vAlign w:val="center"/>
          </w:tcPr>
          <w:p w:rsidR="0016549F" w:rsidRDefault="0016549F" w:rsidP="00125AE0">
            <w:pPr>
              <w:snapToGrid w:val="0"/>
              <w:spacing w:line="240" w:lineRule="auto"/>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发动机运转不良</w:t>
            </w:r>
          </w:p>
        </w:tc>
        <w:tc>
          <w:tcPr>
            <w:tcW w:w="7793" w:type="dxa"/>
          </w:tcPr>
          <w:p w:rsidR="0016549F" w:rsidRDefault="0016549F" w:rsidP="00125AE0">
            <w:pPr>
              <w:snapToGrid w:val="0"/>
              <w:spacing w:line="240" w:lineRule="auto"/>
              <w:ind w:firstLineChars="0" w:firstLine="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1.围绕燃油供给系统不能正常工作设置故障。</w:t>
            </w:r>
          </w:p>
          <w:p w:rsidR="0016549F" w:rsidRDefault="0016549F" w:rsidP="00125AE0">
            <w:pPr>
              <w:snapToGrid w:val="0"/>
              <w:spacing w:line="240" w:lineRule="auto"/>
              <w:ind w:firstLineChars="0" w:firstLine="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2.围绕点火系统不能正常工作设置故障。</w:t>
            </w:r>
            <w:bookmarkStart w:id="8" w:name="OLE_LINK10"/>
          </w:p>
          <w:p w:rsidR="0016549F" w:rsidRDefault="0016549F" w:rsidP="00125AE0">
            <w:pPr>
              <w:snapToGrid w:val="0"/>
              <w:spacing w:line="240" w:lineRule="auto"/>
              <w:ind w:firstLineChars="0" w:firstLine="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bookmarkEnd w:id="8"/>
            <w:r>
              <w:rPr>
                <w:rFonts w:ascii="仿宋_GB2312" w:eastAsia="仿宋_GB2312" w:hAnsi="仿宋_GB2312" w:cs="仿宋_GB2312" w:hint="eastAsia"/>
                <w:color w:val="000000"/>
                <w:sz w:val="24"/>
                <w:szCs w:val="24"/>
              </w:rPr>
              <w:t>围绕进排气及真空控制系统不能正常工作设置故障。</w:t>
            </w:r>
          </w:p>
          <w:p w:rsidR="0016549F" w:rsidRDefault="0016549F" w:rsidP="00125AE0">
            <w:pPr>
              <w:snapToGrid w:val="0"/>
              <w:spacing w:line="240" w:lineRule="auto"/>
              <w:ind w:firstLineChars="0" w:firstLine="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4.围绕电控系统不能正常工作设置故障。</w:t>
            </w:r>
          </w:p>
          <w:p w:rsidR="0016549F" w:rsidRDefault="0016549F" w:rsidP="00125AE0">
            <w:pPr>
              <w:snapToGrid w:val="0"/>
              <w:spacing w:line="240" w:lineRule="auto"/>
              <w:ind w:firstLineChars="0" w:firstLine="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注意：本故障诊断要求完成详细诊断报告，按照故障树的诊断理论，展示清晰的诊断思路，不要随意合并诊断步骤，做</w:t>
            </w:r>
            <w:r>
              <w:rPr>
                <w:rFonts w:ascii="仿宋_GB2312" w:eastAsia="仿宋_GB2312" w:hAnsi="仿宋_GB2312" w:cs="仿宋_GB2312" w:hint="eastAsia"/>
                <w:sz w:val="24"/>
                <w:szCs w:val="24"/>
              </w:rPr>
              <w:t>到条理</w:t>
            </w:r>
            <w:r>
              <w:rPr>
                <w:rFonts w:ascii="仿宋_GB2312" w:eastAsia="仿宋_GB2312" w:hAnsi="仿宋_GB2312" w:cs="仿宋_GB2312" w:hint="eastAsia"/>
                <w:color w:val="000000"/>
                <w:sz w:val="24"/>
                <w:szCs w:val="24"/>
              </w:rPr>
              <w:t>清楚、设备选用合理、诊断明确、结论正确。</w:t>
            </w:r>
          </w:p>
        </w:tc>
      </w:tr>
    </w:tbl>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16549F" w:rsidRDefault="0016549F" w:rsidP="0016549F">
      <w:pPr>
        <w:snapToGrid w:val="0"/>
        <w:ind w:firstLineChars="0" w:firstLine="0"/>
        <w:rPr>
          <w:rStyle w:val="1Char"/>
          <w:rFonts w:ascii="仿宋_GB2312" w:eastAsia="仿宋_GB2312" w:hAnsi="仿宋_GB2312" w:cs="仿宋_GB2312"/>
          <w:color w:val="000000"/>
          <w:sz w:val="30"/>
          <w:szCs w:val="30"/>
        </w:rPr>
      </w:pPr>
    </w:p>
    <w:p w:rsidR="009B34A3" w:rsidRPr="0016549F" w:rsidRDefault="009B34A3" w:rsidP="0016549F">
      <w:pPr>
        <w:ind w:firstLine="560"/>
      </w:pPr>
    </w:p>
    <w:sectPr w:rsidR="009B34A3" w:rsidRPr="001654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C9" w:rsidRDefault="007B2FC9" w:rsidP="0016549F">
      <w:pPr>
        <w:spacing w:line="240" w:lineRule="auto"/>
        <w:ind w:firstLine="560"/>
      </w:pPr>
      <w:r>
        <w:separator/>
      </w:r>
    </w:p>
  </w:endnote>
  <w:endnote w:type="continuationSeparator" w:id="0">
    <w:p w:rsidR="007B2FC9" w:rsidRDefault="007B2FC9" w:rsidP="0016549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C9" w:rsidRDefault="007B2FC9" w:rsidP="0016549F">
      <w:pPr>
        <w:spacing w:line="240" w:lineRule="auto"/>
        <w:ind w:firstLine="560"/>
      </w:pPr>
      <w:r>
        <w:separator/>
      </w:r>
    </w:p>
  </w:footnote>
  <w:footnote w:type="continuationSeparator" w:id="0">
    <w:p w:rsidR="007B2FC9" w:rsidRDefault="007B2FC9" w:rsidP="0016549F">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1BDB"/>
    <w:multiLevelType w:val="singleLevel"/>
    <w:tmpl w:val="2BE81BD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68"/>
    <w:rsid w:val="00066E68"/>
    <w:rsid w:val="0016549F"/>
    <w:rsid w:val="007B2FC9"/>
    <w:rsid w:val="009B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9F"/>
    <w:pPr>
      <w:widowControl w:val="0"/>
      <w:spacing w:line="560" w:lineRule="exact"/>
      <w:ind w:firstLineChars="200" w:firstLine="723"/>
      <w:jc w:val="both"/>
    </w:pPr>
    <w:rPr>
      <w:rFonts w:ascii="仿宋" w:eastAsia="仿宋" w:hAnsi="仿宋"/>
      <w:sz w:val="28"/>
    </w:rPr>
  </w:style>
  <w:style w:type="paragraph" w:styleId="1">
    <w:name w:val="heading 1"/>
    <w:basedOn w:val="a"/>
    <w:next w:val="a"/>
    <w:link w:val="1Char"/>
    <w:qFormat/>
    <w:rsid w:val="0016549F"/>
    <w:pPr>
      <w:keepNext/>
      <w:keepLines/>
      <w:spacing w:before="340" w:after="330" w:line="576" w:lineRule="auto"/>
      <w:outlineLvl w:val="0"/>
    </w:pPr>
    <w:rPr>
      <w:rFonts w:ascii="Times New Roman" w:eastAsia="宋体" w:hAnsi="Times New Roman"/>
      <w:b/>
      <w:kern w:val="44"/>
      <w:sz w:val="44"/>
    </w:rPr>
  </w:style>
  <w:style w:type="paragraph" w:styleId="2">
    <w:name w:val="heading 2"/>
    <w:basedOn w:val="a"/>
    <w:next w:val="a"/>
    <w:link w:val="2Char"/>
    <w:semiHidden/>
    <w:unhideWhenUsed/>
    <w:qFormat/>
    <w:rsid w:val="0016549F"/>
    <w:pPr>
      <w:keepNext/>
      <w:keepLines/>
      <w:spacing w:before="260" w:after="260" w:line="413" w:lineRule="auto"/>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49F"/>
    <w:rPr>
      <w:sz w:val="18"/>
      <w:szCs w:val="18"/>
    </w:rPr>
  </w:style>
  <w:style w:type="paragraph" w:styleId="a4">
    <w:name w:val="footer"/>
    <w:basedOn w:val="a"/>
    <w:link w:val="Char0"/>
    <w:uiPriority w:val="99"/>
    <w:unhideWhenUsed/>
    <w:rsid w:val="0016549F"/>
    <w:pPr>
      <w:tabs>
        <w:tab w:val="center" w:pos="4153"/>
        <w:tab w:val="right" w:pos="8306"/>
      </w:tabs>
      <w:snapToGrid w:val="0"/>
      <w:jc w:val="left"/>
    </w:pPr>
    <w:rPr>
      <w:sz w:val="18"/>
      <w:szCs w:val="18"/>
    </w:rPr>
  </w:style>
  <w:style w:type="character" w:customStyle="1" w:styleId="Char0">
    <w:name w:val="页脚 Char"/>
    <w:basedOn w:val="a0"/>
    <w:link w:val="a4"/>
    <w:uiPriority w:val="99"/>
    <w:rsid w:val="0016549F"/>
    <w:rPr>
      <w:sz w:val="18"/>
      <w:szCs w:val="18"/>
    </w:rPr>
  </w:style>
  <w:style w:type="character" w:customStyle="1" w:styleId="1Char">
    <w:name w:val="标题 1 Char"/>
    <w:basedOn w:val="a0"/>
    <w:link w:val="1"/>
    <w:qFormat/>
    <w:rsid w:val="0016549F"/>
    <w:rPr>
      <w:rFonts w:ascii="Times New Roman" w:eastAsia="宋体" w:hAnsi="Times New Roman"/>
      <w:b/>
      <w:kern w:val="44"/>
      <w:sz w:val="44"/>
    </w:rPr>
  </w:style>
  <w:style w:type="character" w:customStyle="1" w:styleId="2Char">
    <w:name w:val="标题 2 Char"/>
    <w:basedOn w:val="a0"/>
    <w:link w:val="2"/>
    <w:semiHidden/>
    <w:qFormat/>
    <w:rsid w:val="0016549F"/>
    <w:rPr>
      <w:rFonts w:ascii="Arial" w:eastAsia="黑体" w:hAnsi="Arial"/>
      <w:b/>
      <w:kern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9F"/>
    <w:pPr>
      <w:widowControl w:val="0"/>
      <w:spacing w:line="560" w:lineRule="exact"/>
      <w:ind w:firstLineChars="200" w:firstLine="723"/>
      <w:jc w:val="both"/>
    </w:pPr>
    <w:rPr>
      <w:rFonts w:ascii="仿宋" w:eastAsia="仿宋" w:hAnsi="仿宋"/>
      <w:sz w:val="28"/>
    </w:rPr>
  </w:style>
  <w:style w:type="paragraph" w:styleId="1">
    <w:name w:val="heading 1"/>
    <w:basedOn w:val="a"/>
    <w:next w:val="a"/>
    <w:link w:val="1Char"/>
    <w:qFormat/>
    <w:rsid w:val="0016549F"/>
    <w:pPr>
      <w:keepNext/>
      <w:keepLines/>
      <w:spacing w:before="340" w:after="330" w:line="576" w:lineRule="auto"/>
      <w:outlineLvl w:val="0"/>
    </w:pPr>
    <w:rPr>
      <w:rFonts w:ascii="Times New Roman" w:eastAsia="宋体" w:hAnsi="Times New Roman"/>
      <w:b/>
      <w:kern w:val="44"/>
      <w:sz w:val="44"/>
    </w:rPr>
  </w:style>
  <w:style w:type="paragraph" w:styleId="2">
    <w:name w:val="heading 2"/>
    <w:basedOn w:val="a"/>
    <w:next w:val="a"/>
    <w:link w:val="2Char"/>
    <w:semiHidden/>
    <w:unhideWhenUsed/>
    <w:qFormat/>
    <w:rsid w:val="0016549F"/>
    <w:pPr>
      <w:keepNext/>
      <w:keepLines/>
      <w:spacing w:before="260" w:after="260" w:line="413" w:lineRule="auto"/>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49F"/>
    <w:rPr>
      <w:sz w:val="18"/>
      <w:szCs w:val="18"/>
    </w:rPr>
  </w:style>
  <w:style w:type="paragraph" w:styleId="a4">
    <w:name w:val="footer"/>
    <w:basedOn w:val="a"/>
    <w:link w:val="Char0"/>
    <w:uiPriority w:val="99"/>
    <w:unhideWhenUsed/>
    <w:rsid w:val="0016549F"/>
    <w:pPr>
      <w:tabs>
        <w:tab w:val="center" w:pos="4153"/>
        <w:tab w:val="right" w:pos="8306"/>
      </w:tabs>
      <w:snapToGrid w:val="0"/>
      <w:jc w:val="left"/>
    </w:pPr>
    <w:rPr>
      <w:sz w:val="18"/>
      <w:szCs w:val="18"/>
    </w:rPr>
  </w:style>
  <w:style w:type="character" w:customStyle="1" w:styleId="Char0">
    <w:name w:val="页脚 Char"/>
    <w:basedOn w:val="a0"/>
    <w:link w:val="a4"/>
    <w:uiPriority w:val="99"/>
    <w:rsid w:val="0016549F"/>
    <w:rPr>
      <w:sz w:val="18"/>
      <w:szCs w:val="18"/>
    </w:rPr>
  </w:style>
  <w:style w:type="character" w:customStyle="1" w:styleId="1Char">
    <w:name w:val="标题 1 Char"/>
    <w:basedOn w:val="a0"/>
    <w:link w:val="1"/>
    <w:qFormat/>
    <w:rsid w:val="0016549F"/>
    <w:rPr>
      <w:rFonts w:ascii="Times New Roman" w:eastAsia="宋体" w:hAnsi="Times New Roman"/>
      <w:b/>
      <w:kern w:val="44"/>
      <w:sz w:val="44"/>
    </w:rPr>
  </w:style>
  <w:style w:type="character" w:customStyle="1" w:styleId="2Char">
    <w:name w:val="标题 2 Char"/>
    <w:basedOn w:val="a0"/>
    <w:link w:val="2"/>
    <w:semiHidden/>
    <w:qFormat/>
    <w:rsid w:val="0016549F"/>
    <w:rPr>
      <w:rFonts w:ascii="Arial" w:eastAsia="黑体" w:hAnsi="Arial"/>
      <w:b/>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511</Words>
  <Characters>2915</Characters>
  <Application>Microsoft Office Word</Application>
  <DocSecurity>0</DocSecurity>
  <Lines>24</Lines>
  <Paragraphs>6</Paragraphs>
  <ScaleCrop>false</ScaleCrop>
  <Company>Sky123.Org</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2018-04-17T03:48:00Z</dcterms:created>
  <dcterms:modified xsi:type="dcterms:W3CDTF">2018-04-17T03:48:00Z</dcterms:modified>
</cp:coreProperties>
</file>