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olor w:val="000000" w:themeColor="text1"/>
          <w:kern w:val="0"/>
          <w:sz w:val="32"/>
          <w:szCs w:val="32"/>
          <w:highlight w:val="none"/>
          <w14:textFill>
            <w14:solidFill>
              <w14:schemeClr w14:val="tx1"/>
            </w14:solidFill>
          </w14:textFill>
        </w:rPr>
      </w:pPr>
      <w:r>
        <w:rPr>
          <w:rFonts w:hint="eastAsia" w:ascii="黑体" w:hAnsi="黑体" w:eastAsia="黑体"/>
          <w:color w:val="000000" w:themeColor="text1"/>
          <w:kern w:val="0"/>
          <w:sz w:val="32"/>
          <w:szCs w:val="32"/>
          <w:highlight w:val="none"/>
          <w14:textFill>
            <w14:solidFill>
              <w14:schemeClr w14:val="tx1"/>
            </w14:solidFill>
          </w14:textFill>
        </w:rPr>
        <w:t>附件1</w:t>
      </w:r>
    </w:p>
    <w:p>
      <w:pPr>
        <w:spacing w:line="56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2025</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年</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度甘肃开放大学教育教学改革研究项目申报指南</w:t>
      </w:r>
    </w:p>
    <w:p>
      <w:pPr>
        <w:spacing w:line="560" w:lineRule="exact"/>
        <w:rPr>
          <w:rFonts w:ascii="Times New Roman" w:hAnsi="Times New Roman" w:eastAsia="方正仿宋_GB2312" w:cs="Times New Roman"/>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2025年度甘肃开放大学教育教学改革项目主要面向以下八个领域开展立项。题目自拟，自拟课题名称的表述须科学、严谨、规范、简明，避免引起歧义或争议。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一、思政育人模式改革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重点围绕落实立德树人根本任务，聚焦思政课程及课程思政改革创新，推动以资源优化和模式创新为导向的课程建设，包括思政课程在线教学模式创新，“大思政”实践教学改革，数智赋能课程思政教学创新改革，课程思政教学资源、内容供给优化，课程思政建设模式创新，课程考核方式和评价办法完善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二、专业与课程体系改革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专业方面，重点围绕专业的内涵建设和质量提升，推动以培养岗位胜任力为导向的人才培养模式改革，包括落实应用型人才培养，建立专业动态调整机制，加强政校行企协同培养，探索“学历+技能”人才培养模式，开放教育与职业教育融通的专业建设改革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课程方面，重点探索知识、能力与素质图谱建设，模块化课程体系建设，学生核心素养构建与通识教育改革等。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Times New Roman"/>
          <w:color w:val="000000"/>
          <w:sz w:val="32"/>
          <w:szCs w:val="32"/>
        </w:rPr>
      </w:pPr>
      <w:r>
        <w:rPr>
          <w:rFonts w:hint="eastAsia" w:ascii="黑体" w:hAnsi="黑体" w:eastAsia="黑体" w:cs="Times New Roman"/>
          <w:color w:val="000000"/>
          <w:sz w:val="32"/>
          <w:szCs w:val="32"/>
          <w:lang w:val="en-US" w:eastAsia="zh-CN"/>
        </w:rPr>
        <w:t>三</w:t>
      </w:r>
      <w:r>
        <w:rPr>
          <w:rFonts w:hint="eastAsia" w:ascii="黑体" w:hAnsi="黑体" w:eastAsia="黑体" w:cs="Times New Roman"/>
          <w:color w:val="000000"/>
          <w:sz w:val="32"/>
          <w:szCs w:val="32"/>
        </w:rPr>
        <w:t>、资源建设改革与机制探索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重点关注数字赋能学习资源高质量建设，包括探索样板课程、样板资源、优质选修课程建设，打造新形态文字教材、数字教材，推进AI+学习资源变革，加快建设虚拟仿真实验实训资源，开发地方特色与优势资源，探索沉浸式、生成式资源建设模式，推进适需易学的网络课程集成化建设，优化资源建设更新机制和集成共享机制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Times New Roman"/>
          <w:color w:val="000000"/>
          <w:sz w:val="32"/>
          <w:szCs w:val="32"/>
        </w:rPr>
      </w:pPr>
      <w:r>
        <w:rPr>
          <w:rFonts w:hint="eastAsia" w:ascii="黑体" w:hAnsi="黑体" w:eastAsia="黑体" w:cs="Times New Roman"/>
          <w:color w:val="000000"/>
          <w:sz w:val="32"/>
          <w:szCs w:val="32"/>
          <w:lang w:val="en-US" w:eastAsia="zh-CN"/>
        </w:rPr>
        <w:t>四</w:t>
      </w:r>
      <w:r>
        <w:rPr>
          <w:rFonts w:hint="eastAsia" w:ascii="黑体" w:hAnsi="黑体" w:eastAsia="黑体" w:cs="Times New Roman"/>
          <w:color w:val="000000"/>
          <w:sz w:val="32"/>
          <w:szCs w:val="32"/>
        </w:rPr>
        <w:t>、数智赋能教学模式创新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重点围绕数智赋能实现教学过程的精准有效，包括线上线下融合教学改革，推动构建“人工智能+”助教、助学、助评、助管的闭环教学过程，基于网络教学团队的协同教学与教研模式创新，区域师资共建共享探索，面授与直播教学改革，学生数字画像研究及学生支持服务网络建设等学习模式创新与实践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Times New Roman"/>
          <w:color w:val="000000"/>
          <w:sz w:val="32"/>
          <w:szCs w:val="32"/>
        </w:rPr>
      </w:pPr>
      <w:r>
        <w:rPr>
          <w:rFonts w:hint="eastAsia" w:ascii="黑体" w:hAnsi="黑体" w:eastAsia="黑体" w:cs="Times New Roman"/>
          <w:color w:val="000000"/>
          <w:sz w:val="32"/>
          <w:szCs w:val="32"/>
          <w:lang w:val="en-US" w:eastAsia="zh-CN"/>
        </w:rPr>
        <w:t>五</w:t>
      </w:r>
      <w:r>
        <w:rPr>
          <w:rFonts w:hint="eastAsia" w:ascii="黑体" w:hAnsi="黑体" w:eastAsia="黑体" w:cs="Times New Roman"/>
          <w:color w:val="000000"/>
          <w:sz w:val="32"/>
          <w:szCs w:val="32"/>
        </w:rPr>
        <w:t>、实践教学改革与模式创新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重点围绕岗位胜任力培养和实践教学质量提升，包括工学结合实践育人体系构建，实践教学标准化、规范化建设，虚拟仿真资源与平台建设，实践教学全流程、个性化教学指导改革，联合政校企在实践类课程、实习项目、实训基地、创新创业平台等方面的共建共享机制探索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Times New Roman"/>
          <w:color w:val="000000"/>
          <w:sz w:val="32"/>
          <w:szCs w:val="32"/>
        </w:rPr>
      </w:pPr>
      <w:r>
        <w:rPr>
          <w:rFonts w:hint="eastAsia" w:ascii="黑体" w:hAnsi="黑体" w:eastAsia="黑体" w:cs="Times New Roman"/>
          <w:color w:val="000000"/>
          <w:sz w:val="32"/>
          <w:szCs w:val="32"/>
          <w:lang w:val="en-US" w:eastAsia="zh-CN"/>
        </w:rPr>
        <w:t>六</w:t>
      </w:r>
      <w:r>
        <w:rPr>
          <w:rFonts w:hint="eastAsia" w:ascii="黑体" w:hAnsi="黑体" w:eastAsia="黑体" w:cs="Times New Roman"/>
          <w:color w:val="000000"/>
          <w:sz w:val="32"/>
          <w:szCs w:val="32"/>
        </w:rPr>
        <w:t>、学习评价改革与创新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重点围绕全过程、智能化学习评价改革，包括探索突出能力考核的评价体系，创新多元考核方式、推动教、学、练、测有机衔接，探索数智赋能学习评价新模式、实现数据驱动的精准化学业诊断和评价等。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七、教师队伍建设改革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重点围绕教师师德师风建设和“双能”型教师培养，包括优化教育家精神在开放教育中的实践路径，探索体系教师分类发展模式和多元评价体系，构建多渠道多类型提升教师教学能力策略矩阵，创新教学学术与学科研究工作激励机制，建立开放教育教师数字素养标准，探索数智赋能教师能力提升举措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八、质量保障工作创新探索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重点围绕“构建数据驱动的质量保障体系”的创新改革，</w:t>
      </w:r>
      <w:bookmarkStart w:id="0" w:name="_GoBack"/>
      <w:bookmarkEnd w:id="0"/>
      <w:r>
        <w:rPr>
          <w:rFonts w:hint="eastAsia" w:ascii="Times New Roman" w:hAnsi="Times New Roman" w:eastAsia="仿宋" w:cs="Times New Roman"/>
          <w:sz w:val="32"/>
          <w:szCs w:val="32"/>
          <w:lang w:val="en-US" w:eastAsia="zh-CN"/>
        </w:rPr>
        <w:t>包括特色质量因子的研制及应用，数智化质量监控系统建设试点，学习中心基于数智赋能的质量监测、诊断、预警、反馈、督导手段方式创新应用，办学系统数智化评估试点等；开放大学质量标准、评估评价指标体系优化和质量指数研究等。</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5MWY1NjhjNjAxYzgzM2YxYWE4M2M0MzY1ZDg2NTUifQ=="/>
  </w:docVars>
  <w:rsids>
    <w:rsidRoot w:val="7CA768B6"/>
    <w:rsid w:val="0A140646"/>
    <w:rsid w:val="544A4DCD"/>
    <w:rsid w:val="59E4598A"/>
    <w:rsid w:val="7CA76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1245</Words>
  <Characters>1253</Characters>
  <Lines>0</Lines>
  <Paragraphs>0</Paragraphs>
  <TotalTime>1</TotalTime>
  <ScaleCrop>false</ScaleCrop>
  <LinksUpToDate>false</LinksUpToDate>
  <CharactersWithSpaces>1253</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2025-06-23T02:55:00Z</dcterms:created>
  <dc:creator>翟玉婷</dc:creator>
  <cp:lastModifiedBy>梅子</cp:lastModifiedBy>
  <cp:lastPrinted>2025-06-23T02:58:00Z</cp:lastPrinted>
  <dcterms:modified xsi:type="dcterms:W3CDTF">2025-06-23T03:36:22Z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A185FA3BF3534EA7B25A8363E4335E9D_11</vt:lpwstr>
  </property>
  <property fmtid="{D5CDD505-2E9C-101B-9397-08002B2CF9AE}" pid="4" name="KSOTemplateDocerSaveRecord">
    <vt:lpwstr>eyJoZGlkIjoiNDMwODg1YTdlN2NkYjM2MDJlZGRmMDUzNDI1MzY5ZjkiLCJ1c2VySWQiOiI0MjU3NjgzNDkifQ==</vt:lpwstr>
  </property>
</Properties>
</file>